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55D0" w14:textId="77777777" w:rsidR="005B7D4C" w:rsidRDefault="005B7D4C" w:rsidP="00AA6D9F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241DCEF3" w14:textId="0D5218AB" w:rsidR="00EC73A9" w:rsidRDefault="00537C67" w:rsidP="00EA78BE">
      <w:pPr>
        <w:spacing w:after="20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Coronavirus</w:t>
      </w:r>
      <w:r w:rsidR="0007271C">
        <w:rPr>
          <w:rFonts w:ascii="Arial" w:hAnsi="Arial" w:cs="Arial"/>
          <w:sz w:val="28"/>
          <w:szCs w:val="28"/>
          <w:u w:val="single"/>
        </w:rPr>
        <w:t xml:space="preserve"> </w:t>
      </w:r>
      <w:r w:rsidR="009471D3">
        <w:rPr>
          <w:rFonts w:ascii="Arial" w:hAnsi="Arial" w:cs="Arial"/>
          <w:sz w:val="28"/>
          <w:szCs w:val="28"/>
          <w:u w:val="single"/>
        </w:rPr>
        <w:t xml:space="preserve">catch up </w:t>
      </w:r>
      <w:r>
        <w:rPr>
          <w:rFonts w:ascii="Arial" w:hAnsi="Arial" w:cs="Arial"/>
          <w:sz w:val="28"/>
          <w:szCs w:val="28"/>
          <w:u w:val="single"/>
        </w:rPr>
        <w:t>funding 2020/2021</w:t>
      </w:r>
    </w:p>
    <w:p w14:paraId="26991792" w14:textId="77777777" w:rsidR="00736046" w:rsidRDefault="00736046" w:rsidP="00736046">
      <w:pPr>
        <w:pStyle w:val="ListParagraph"/>
        <w:rPr>
          <w:b/>
          <w:sz w:val="32"/>
          <w:szCs w:val="32"/>
        </w:rPr>
      </w:pPr>
    </w:p>
    <w:p w14:paraId="5A2A06F7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Introduction</w:t>
      </w:r>
    </w:p>
    <w:p w14:paraId="195A2426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The government is providing funding to cover a one-off universal catch-up premium for the 2020 to 2021 academic year. </w:t>
      </w:r>
    </w:p>
    <w:p w14:paraId="3229874B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It aims to support pupils to catch up for lost learning so schools can meet the curriculum expectations for the next academic year, with the key principles:</w:t>
      </w:r>
    </w:p>
    <w:p w14:paraId="7E3818A4" w14:textId="77777777" w:rsidR="00736046" w:rsidRPr="002F7F81" w:rsidRDefault="00736046" w:rsidP="007360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Education is not optional</w:t>
      </w:r>
    </w:p>
    <w:p w14:paraId="491647F5" w14:textId="77777777" w:rsidR="00736046" w:rsidRPr="002F7F81" w:rsidRDefault="00736046" w:rsidP="00736046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All pupils receive a high-quality education that promotes their development and prepares them for the opportunities, responsibilities and experiences of later life.</w:t>
      </w:r>
    </w:p>
    <w:p w14:paraId="76D36FEC" w14:textId="77777777" w:rsidR="00736046" w:rsidRPr="002F7F81" w:rsidRDefault="00736046" w:rsidP="007360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The curriculum remains broad and ambitious</w:t>
      </w:r>
    </w:p>
    <w:p w14:paraId="28799C7C" w14:textId="77777777" w:rsidR="00736046" w:rsidRPr="002F7F81" w:rsidRDefault="00736046" w:rsidP="00736046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All pupils continue to be taught a wide range of subjects, maintaining their choices for further study and employment.</w:t>
      </w:r>
    </w:p>
    <w:p w14:paraId="5C74FC50" w14:textId="77777777" w:rsidR="00736046" w:rsidRPr="002F7F81" w:rsidRDefault="00736046" w:rsidP="007360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Remote education</w:t>
      </w:r>
    </w:p>
    <w:p w14:paraId="0F007CE8" w14:textId="77777777" w:rsidR="00736046" w:rsidRPr="002F7F81" w:rsidRDefault="00736046" w:rsidP="00736046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Where needed, this is high-quality and safe, and aligns as closely as possible with in-school provision. Schools and other settings continue to build their capability to educate pupils remotely, where this is needed.</w:t>
      </w:r>
    </w:p>
    <w:p w14:paraId="20C47CB7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Informed by the above key principles, the DfE asks that schools and other settings meet key expectations IF considering revisions to the school curriculum for 2020-21:</w:t>
      </w:r>
    </w:p>
    <w:p w14:paraId="2CF1474E" w14:textId="77777777" w:rsidR="00736046" w:rsidRPr="002F7F81" w:rsidRDefault="00736046" w:rsidP="007360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Teach an ambitious and broad curriculum</w:t>
      </w:r>
    </w:p>
    <w:p w14:paraId="3F495879" w14:textId="77777777" w:rsidR="00736046" w:rsidRPr="002F7F81" w:rsidRDefault="00736046" w:rsidP="007360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Aim to return to the schools’ ‘normal’ curriculum by the summer term 2021</w:t>
      </w:r>
    </w:p>
    <w:p w14:paraId="7BD3EB53" w14:textId="77777777" w:rsidR="00736046" w:rsidRPr="002F7F81" w:rsidRDefault="00736046" w:rsidP="007360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Plan on the basis of the educational needs of pupils, informed by an assessment of the pupils’ starting points and addressing gaps</w:t>
      </w:r>
    </w:p>
    <w:p w14:paraId="0BF7D966" w14:textId="77777777" w:rsidR="00736046" w:rsidRPr="002F7F81" w:rsidRDefault="00736046" w:rsidP="007360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Develop remote education so it is integrated into the school’s curriculum planning.</w:t>
      </w:r>
    </w:p>
    <w:p w14:paraId="3E5BD67A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Funding</w:t>
      </w:r>
    </w:p>
    <w:p w14:paraId="643FD78A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Special, Alternative Provision and Hospital Schools will receive a total of </w:t>
      </w: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£240 per place</w:t>
      </w: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, as follows: </w:t>
      </w:r>
    </w:p>
    <w:p w14:paraId="003CC571" w14:textId="77777777" w:rsidR="00736046" w:rsidRPr="002F7F81" w:rsidRDefault="00736046" w:rsidP="007360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In 3 instalments - in autumn 2020, 'early 2021' and summer 2021 </w:t>
      </w:r>
    </w:p>
    <w:p w14:paraId="366F40A4" w14:textId="77777777" w:rsidR="00736046" w:rsidRPr="002F7F81" w:rsidRDefault="00736046" w:rsidP="00736046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Payments 1 and 2 – total of £140 per place across the payments</w:t>
      </w:r>
    </w:p>
    <w:p w14:paraId="650F9D15" w14:textId="77777777" w:rsidR="00736046" w:rsidRPr="002F7F81" w:rsidRDefault="00736046" w:rsidP="00736046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Payment 3 - £100 per place</w:t>
      </w:r>
    </w:p>
    <w:p w14:paraId="230A1E20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Per place numbers for each instalment are based on the published high needs place numbers for the 2020 to 2021 academic year.</w:t>
      </w:r>
    </w:p>
    <w:p w14:paraId="56326FE4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Catch-up Planning</w:t>
      </w:r>
    </w:p>
    <w:p w14:paraId="67FB557E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i/>
          <w:iCs/>
          <w:color w:val="333333"/>
          <w:sz w:val="22"/>
          <w:szCs w:val="22"/>
          <w:lang w:eastAsia="en-GB"/>
        </w:rPr>
        <w:t>Schools are able to spend the funding in the most effective way for their own pupils</w:t>
      </w:r>
    </w:p>
    <w:p w14:paraId="300BB08B" w14:textId="77777777" w:rsidR="00736046" w:rsidRPr="002F7F81" w:rsidRDefault="00736046" w:rsidP="00736046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It is up to the school to decide: </w:t>
      </w:r>
    </w:p>
    <w:p w14:paraId="4B80A24E" w14:textId="77777777" w:rsidR="00736046" w:rsidRPr="002F7F81" w:rsidRDefault="00736046" w:rsidP="007360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lastRenderedPageBreak/>
        <w:t>Which pupils need to access the support</w:t>
      </w:r>
    </w:p>
    <w:p w14:paraId="20DF7410" w14:textId="77777777" w:rsidR="00736046" w:rsidRPr="002F7F81" w:rsidRDefault="00736046" w:rsidP="00736046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Although funding is on a per pupil basis, there are no specific requirements for who to spend it on.</w:t>
      </w:r>
    </w:p>
    <w:p w14:paraId="3774489A" w14:textId="77777777" w:rsidR="00736046" w:rsidRPr="002F7F81" w:rsidRDefault="00736046" w:rsidP="00736046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Schools should Identify pupils that will benefit most from the funding</w:t>
      </w:r>
    </w:p>
    <w:p w14:paraId="03121E08" w14:textId="77777777" w:rsidR="00736046" w:rsidRPr="002F7F81" w:rsidRDefault="00736046" w:rsidP="007360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b/>
          <w:bCs/>
          <w:color w:val="333333"/>
          <w:sz w:val="22"/>
          <w:szCs w:val="22"/>
          <w:lang w:eastAsia="en-GB"/>
        </w:rPr>
        <w:t>The activities that will be provided</w:t>
      </w:r>
    </w:p>
    <w:p w14:paraId="6916C377" w14:textId="77777777" w:rsidR="00736046" w:rsidRPr="002F7F81" w:rsidRDefault="00736046" w:rsidP="00736046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The Education Endowment Fund (EEF) has </w:t>
      </w:r>
      <w:hyperlink r:id="rId9" w:anchor="nav-covid-19-support-guide-for-schools1" w:history="1">
        <w:r w:rsidRPr="002F7F81">
          <w:rPr>
            <w:rFonts w:ascii="Arial" w:hAnsi="Arial" w:cs="Arial"/>
            <w:color w:val="337AB7"/>
            <w:sz w:val="22"/>
            <w:szCs w:val="22"/>
            <w:u w:val="single"/>
            <w:lang w:eastAsia="en-GB"/>
          </w:rPr>
          <w:t>guidance</w:t>
        </w:r>
      </w:hyperlink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 on catch-up approaches schools could choose, as well as a </w:t>
      </w:r>
      <w:hyperlink r:id="rId10" w:history="1">
        <w:r w:rsidRPr="002F7F81">
          <w:rPr>
            <w:rFonts w:ascii="Arial" w:hAnsi="Arial" w:cs="Arial"/>
            <w:color w:val="337AB7"/>
            <w:sz w:val="22"/>
            <w:szCs w:val="22"/>
            <w:u w:val="single"/>
            <w:lang w:eastAsia="en-GB"/>
          </w:rPr>
          <w:t>planning guide</w:t>
        </w:r>
      </w:hyperlink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 to help implementation of catch-up strategies for the 2020/21 academic year. </w:t>
      </w:r>
    </w:p>
    <w:p w14:paraId="29558CAB" w14:textId="77777777" w:rsidR="00736046" w:rsidRPr="002F7F81" w:rsidRDefault="00736046" w:rsidP="00736046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eastAsia="en-GB"/>
        </w:rPr>
      </w:pPr>
      <w:r w:rsidRPr="002F7F81">
        <w:rPr>
          <w:rFonts w:ascii="Arial" w:hAnsi="Arial" w:cs="Arial"/>
          <w:color w:val="333333"/>
          <w:sz w:val="22"/>
          <w:szCs w:val="22"/>
          <w:lang w:eastAsia="en-GB"/>
        </w:rPr>
        <w:t>the DfE recommends small group or 1-to-1 tuition (particularly through the National Tutoring Programme)</w:t>
      </w:r>
    </w:p>
    <w:p w14:paraId="52023DD5" w14:textId="77777777" w:rsidR="00736046" w:rsidRPr="00736046" w:rsidRDefault="00736046" w:rsidP="00736046">
      <w:pPr>
        <w:rPr>
          <w:rFonts w:ascii="Arial" w:hAnsi="Arial" w:cs="Arial"/>
          <w:b/>
          <w:sz w:val="22"/>
          <w:szCs w:val="22"/>
        </w:rPr>
      </w:pPr>
    </w:p>
    <w:p w14:paraId="3B0AF9AF" w14:textId="77777777" w:rsidR="00736046" w:rsidRPr="00736046" w:rsidRDefault="00736046" w:rsidP="00736046">
      <w:pPr>
        <w:pStyle w:val="ListParagraph"/>
        <w:rPr>
          <w:rFonts w:ascii="Arial" w:hAnsi="Arial" w:cs="Arial"/>
          <w:b/>
          <w:sz w:val="22"/>
          <w:szCs w:val="22"/>
        </w:rPr>
      </w:pPr>
      <w:r w:rsidRPr="00736046">
        <w:rPr>
          <w:rFonts w:ascii="Arial" w:hAnsi="Arial" w:cs="Arial"/>
          <w:b/>
          <w:sz w:val="22"/>
          <w:szCs w:val="22"/>
        </w:rPr>
        <w:t xml:space="preserve">How it is intended that the grant will be spent: </w:t>
      </w:r>
    </w:p>
    <w:p w14:paraId="2F19783B" w14:textId="77777777" w:rsidR="00736046" w:rsidRPr="00736046" w:rsidRDefault="00736046" w:rsidP="0073604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F26381C" w14:textId="77777777" w:rsidR="00736046" w:rsidRPr="00736046" w:rsidRDefault="00736046" w:rsidP="00736046">
      <w:pPr>
        <w:pStyle w:val="ListParagraph"/>
        <w:rPr>
          <w:rFonts w:ascii="Arial" w:hAnsi="Arial" w:cs="Arial"/>
          <w:sz w:val="22"/>
          <w:szCs w:val="22"/>
        </w:rPr>
      </w:pPr>
    </w:p>
    <w:p w14:paraId="784391B7" w14:textId="77777777" w:rsidR="00736046" w:rsidRPr="00736046" w:rsidRDefault="00736046" w:rsidP="00736046">
      <w:pPr>
        <w:pStyle w:val="ListParagraph"/>
        <w:rPr>
          <w:rFonts w:ascii="Arial" w:hAnsi="Arial" w:cs="Arial"/>
          <w:sz w:val="22"/>
          <w:szCs w:val="22"/>
        </w:rPr>
      </w:pPr>
      <w:r w:rsidRPr="00736046">
        <w:rPr>
          <w:rFonts w:ascii="Arial" w:hAnsi="Arial" w:cs="Arial"/>
          <w:sz w:val="22"/>
          <w:szCs w:val="22"/>
        </w:rPr>
        <w:t xml:space="preserve">The Coronavirus (COVID-19) Catch-Up Premium Grant is not intended to be specifically allocated to individual pupils and schools have the freedom to decide how it can best be spent. Therefore, at Chiltern </w:t>
      </w:r>
      <w:r w:rsidR="00454ED9" w:rsidRPr="00736046">
        <w:rPr>
          <w:rFonts w:ascii="Arial" w:hAnsi="Arial" w:cs="Arial"/>
          <w:sz w:val="22"/>
          <w:szCs w:val="22"/>
        </w:rPr>
        <w:t>Wood we</w:t>
      </w:r>
      <w:r w:rsidRPr="00736046">
        <w:rPr>
          <w:rFonts w:ascii="Arial" w:hAnsi="Arial" w:cs="Arial"/>
          <w:sz w:val="22"/>
          <w:szCs w:val="22"/>
        </w:rPr>
        <w:t xml:space="preserve"> have pooled the allocated monies to maximise the impact on pupils’ progress and attainment.</w:t>
      </w:r>
    </w:p>
    <w:p w14:paraId="533A09F2" w14:textId="77777777" w:rsidR="00736046" w:rsidRPr="00736046" w:rsidRDefault="00736046" w:rsidP="00EA78BE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14:paraId="749C7B7A" w14:textId="77777777" w:rsidR="00736046" w:rsidRPr="00736046" w:rsidRDefault="00736046" w:rsidP="00EA78BE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14:paraId="3239ED1C" w14:textId="77777777" w:rsidR="00736046" w:rsidRDefault="00736046" w:rsidP="00EA78BE">
      <w:pPr>
        <w:spacing w:after="200" w:line="276" w:lineRule="auto"/>
        <w:rPr>
          <w:rFonts w:ascii="Arial" w:hAnsi="Arial" w:cs="Arial"/>
          <w:sz w:val="28"/>
          <w:szCs w:val="28"/>
          <w:u w:val="single"/>
        </w:rPr>
      </w:pPr>
    </w:p>
    <w:p w14:paraId="734A1353" w14:textId="77777777" w:rsidR="00736046" w:rsidRDefault="00736046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BD45447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BB2352F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EAF1CA0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EE9E3B7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DD1C929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41EF007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1EB16FC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2DD7E3E" w14:textId="77777777" w:rsidR="004B6391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640C8F3" w14:textId="77777777" w:rsidR="004B6391" w:rsidRPr="00EA78BE" w:rsidRDefault="004B6391" w:rsidP="00EA78B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69BD23" w14:textId="77777777" w:rsidR="00E872E9" w:rsidRDefault="00E872E9" w:rsidP="00883C7B">
      <w:pPr>
        <w:rPr>
          <w:rFonts w:ascii="Arial" w:hAnsi="Arial" w:cs="Arial"/>
          <w:b/>
          <w:sz w:val="22"/>
          <w:szCs w:val="22"/>
        </w:rPr>
      </w:pPr>
    </w:p>
    <w:p w14:paraId="3989D4A7" w14:textId="0528A30E" w:rsidR="00DC4C4F" w:rsidRDefault="00073C56" w:rsidP="00883C7B">
      <w:pPr>
        <w:rPr>
          <w:rFonts w:ascii="Arial" w:hAnsi="Arial" w:cs="Arial"/>
          <w:b/>
          <w:sz w:val="22"/>
          <w:szCs w:val="22"/>
        </w:rPr>
      </w:pPr>
      <w:r w:rsidRPr="00073C56"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37C67">
        <w:rPr>
          <w:rFonts w:ascii="Arial" w:hAnsi="Arial" w:cs="Arial"/>
          <w:b/>
          <w:sz w:val="22"/>
          <w:szCs w:val="22"/>
        </w:rPr>
        <w:t>Estimated £49,860</w:t>
      </w:r>
      <w:r w:rsidR="0078606B">
        <w:rPr>
          <w:rFonts w:ascii="Arial" w:hAnsi="Arial" w:cs="Arial"/>
          <w:b/>
          <w:sz w:val="22"/>
          <w:szCs w:val="22"/>
        </w:rPr>
        <w:t xml:space="preserve"> plus approx. £1</w:t>
      </w:r>
      <w:r w:rsidR="00583165">
        <w:rPr>
          <w:rFonts w:ascii="Arial" w:hAnsi="Arial" w:cs="Arial"/>
          <w:b/>
          <w:sz w:val="22"/>
          <w:szCs w:val="22"/>
        </w:rPr>
        <w:t>6</w:t>
      </w:r>
      <w:r w:rsidR="0078606B">
        <w:rPr>
          <w:rFonts w:ascii="Arial" w:hAnsi="Arial" w:cs="Arial"/>
          <w:b/>
          <w:sz w:val="22"/>
          <w:szCs w:val="22"/>
        </w:rPr>
        <w:t xml:space="preserve">, </w:t>
      </w:r>
      <w:r w:rsidR="00583165">
        <w:rPr>
          <w:rFonts w:ascii="Arial" w:hAnsi="Arial" w:cs="Arial"/>
          <w:b/>
          <w:sz w:val="22"/>
          <w:szCs w:val="22"/>
        </w:rPr>
        <w:t>505</w:t>
      </w:r>
      <w:r w:rsidR="00C73C36">
        <w:rPr>
          <w:rFonts w:ascii="Arial" w:hAnsi="Arial" w:cs="Arial"/>
          <w:b/>
          <w:sz w:val="22"/>
          <w:szCs w:val="22"/>
        </w:rPr>
        <w:t xml:space="preserve"> from school led tutoring grant</w:t>
      </w:r>
      <w:r w:rsidR="0078606B">
        <w:rPr>
          <w:rFonts w:ascii="Arial" w:hAnsi="Arial" w:cs="Arial"/>
          <w:b/>
          <w:sz w:val="22"/>
          <w:szCs w:val="22"/>
        </w:rPr>
        <w:t xml:space="preserve"> – additional allocation from September 2021 (total £6</w:t>
      </w:r>
      <w:r w:rsidR="00D174EB">
        <w:rPr>
          <w:rFonts w:ascii="Arial" w:hAnsi="Arial" w:cs="Arial"/>
          <w:b/>
          <w:sz w:val="22"/>
          <w:szCs w:val="22"/>
        </w:rPr>
        <w:t>6</w:t>
      </w:r>
      <w:r w:rsidR="0078606B">
        <w:rPr>
          <w:rFonts w:ascii="Arial" w:hAnsi="Arial" w:cs="Arial"/>
          <w:b/>
          <w:sz w:val="22"/>
          <w:szCs w:val="22"/>
        </w:rPr>
        <w:t>,</w:t>
      </w:r>
      <w:r w:rsidR="00D174EB">
        <w:rPr>
          <w:rFonts w:ascii="Arial" w:hAnsi="Arial" w:cs="Arial"/>
          <w:b/>
          <w:sz w:val="22"/>
          <w:szCs w:val="22"/>
        </w:rPr>
        <w:t>365</w:t>
      </w:r>
      <w:r w:rsidR="0078606B">
        <w:rPr>
          <w:rFonts w:ascii="Arial" w:hAnsi="Arial" w:cs="Arial"/>
          <w:b/>
          <w:sz w:val="22"/>
          <w:szCs w:val="22"/>
        </w:rPr>
        <w:t>)</w:t>
      </w:r>
    </w:p>
    <w:p w14:paraId="77AFD96A" w14:textId="77777777" w:rsidR="009471D3" w:rsidRPr="00073C56" w:rsidRDefault="009471D3" w:rsidP="00883C7B">
      <w:pPr>
        <w:rPr>
          <w:rFonts w:ascii="Arial" w:hAnsi="Arial" w:cs="Arial"/>
          <w:b/>
          <w:sz w:val="22"/>
          <w:szCs w:val="22"/>
        </w:rPr>
      </w:pPr>
    </w:p>
    <w:tbl>
      <w:tblPr>
        <w:tblW w:w="14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1107"/>
        <w:gridCol w:w="2547"/>
        <w:gridCol w:w="1140"/>
        <w:gridCol w:w="1918"/>
        <w:gridCol w:w="2717"/>
        <w:gridCol w:w="3995"/>
      </w:tblGrid>
      <w:tr w:rsidR="005C40AE" w:rsidRPr="00547D65" w14:paraId="395F7F27" w14:textId="77777777" w:rsidTr="00900000">
        <w:trPr>
          <w:trHeight w:val="241"/>
          <w:tblHeader/>
        </w:trPr>
        <w:tc>
          <w:tcPr>
            <w:tcW w:w="1440" w:type="dxa"/>
            <w:shd w:val="clear" w:color="auto" w:fill="C6D9F1" w:themeFill="text2" w:themeFillTint="33"/>
          </w:tcPr>
          <w:p w14:paraId="3034B40A" w14:textId="77777777" w:rsidR="005C40AE" w:rsidRPr="00547D65" w:rsidRDefault="009471D3" w:rsidP="00532D6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14:paraId="70EBB946" w14:textId="77777777" w:rsidR="005C40AE" w:rsidRPr="00547D65" w:rsidRDefault="005C40AE" w:rsidP="00532D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14:paraId="1E2FA3E0" w14:textId="77777777" w:rsidR="005C40AE" w:rsidRPr="00547D65" w:rsidRDefault="005C40AE" w:rsidP="00532D6B">
            <w:pPr>
              <w:rPr>
                <w:rFonts w:ascii="Arial" w:hAnsi="Arial" w:cs="Arial"/>
                <w:b/>
                <w:szCs w:val="22"/>
              </w:rPr>
            </w:pPr>
            <w:r w:rsidRPr="00547D65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140" w:type="dxa"/>
            <w:shd w:val="clear" w:color="auto" w:fill="C6D9F1" w:themeFill="text2" w:themeFillTint="33"/>
          </w:tcPr>
          <w:p w14:paraId="24AE7C27" w14:textId="77777777" w:rsidR="005C40AE" w:rsidRPr="00547D65" w:rsidRDefault="005C40AE" w:rsidP="00532D6B">
            <w:pPr>
              <w:rPr>
                <w:rFonts w:ascii="Arial" w:hAnsi="Arial" w:cs="Arial"/>
                <w:b/>
                <w:szCs w:val="22"/>
              </w:rPr>
            </w:pPr>
            <w:r w:rsidRPr="00547D65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  <w:tc>
          <w:tcPr>
            <w:tcW w:w="1918" w:type="dxa"/>
            <w:shd w:val="clear" w:color="auto" w:fill="C6D9F1" w:themeFill="text2" w:themeFillTint="33"/>
          </w:tcPr>
          <w:p w14:paraId="54DDAB59" w14:textId="77777777" w:rsidR="005C40AE" w:rsidRPr="00547D65" w:rsidRDefault="005C40AE" w:rsidP="00532D6B">
            <w:pPr>
              <w:rPr>
                <w:rFonts w:ascii="Arial" w:hAnsi="Arial" w:cs="Arial"/>
                <w:b/>
                <w:szCs w:val="22"/>
              </w:rPr>
            </w:pPr>
            <w:r w:rsidRPr="00547D65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2717" w:type="dxa"/>
            <w:shd w:val="clear" w:color="auto" w:fill="C6D9F1" w:themeFill="text2" w:themeFillTint="33"/>
          </w:tcPr>
          <w:p w14:paraId="57036499" w14:textId="77777777" w:rsidR="005C40AE" w:rsidRPr="00547D65" w:rsidRDefault="005C40AE" w:rsidP="00532D6B">
            <w:pPr>
              <w:rPr>
                <w:rFonts w:ascii="Arial" w:hAnsi="Arial" w:cs="Arial"/>
                <w:b/>
                <w:szCs w:val="22"/>
              </w:rPr>
            </w:pPr>
            <w:r w:rsidRPr="00547D65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3995" w:type="dxa"/>
            <w:shd w:val="clear" w:color="auto" w:fill="C6D9F1" w:themeFill="text2" w:themeFillTint="33"/>
          </w:tcPr>
          <w:p w14:paraId="383737AB" w14:textId="77777777" w:rsidR="005C40AE" w:rsidRPr="00547D65" w:rsidRDefault="000E1BFE" w:rsidP="00C667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  <w:r w:rsidR="0090000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667D3">
              <w:rPr>
                <w:rFonts w:ascii="Arial" w:hAnsi="Arial" w:cs="Arial"/>
                <w:b/>
                <w:sz w:val="22"/>
                <w:szCs w:val="22"/>
              </w:rPr>
              <w:t>July</w:t>
            </w:r>
            <w:r w:rsidR="0009447C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90000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C40AE" w14:paraId="67273444" w14:textId="77777777" w:rsidTr="00900000">
        <w:trPr>
          <w:trHeight w:val="1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174" w14:textId="236BCDD3" w:rsidR="005C40AE" w:rsidRPr="00EC73A9" w:rsidRDefault="00C667D3" w:rsidP="007943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Catch up tutor (2 terms</w:t>
            </w:r>
            <w:r w:rsidR="00D174EB">
              <w:rPr>
                <w:rFonts w:ascii="Arial" w:hAnsi="Arial" w:cs="Arial"/>
                <w:b/>
                <w:sz w:val="20"/>
              </w:rPr>
              <w:t xml:space="preserve"> – now 5 terms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128" w14:textId="439D8F00" w:rsidR="005C40AE" w:rsidRDefault="001D038F" w:rsidP="000E1BF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£</w:t>
            </w:r>
            <w:r w:rsidR="007C5FA8">
              <w:rPr>
                <w:rFonts w:ascii="Arial" w:hAnsi="Arial" w:cs="Arial"/>
                <w:sz w:val="20"/>
                <w:lang w:val="en-US"/>
              </w:rPr>
              <w:t>2</w:t>
            </w:r>
            <w:r w:rsidR="00D174EB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="00D174EB">
              <w:rPr>
                <w:rFonts w:ascii="Arial" w:hAnsi="Arial" w:cs="Arial"/>
                <w:sz w:val="20"/>
                <w:lang w:val="en-US"/>
              </w:rPr>
              <w:t>465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FFB" w14:textId="77777777" w:rsidR="005C40AE" w:rsidRPr="00E74624" w:rsidRDefault="001D038F" w:rsidP="00DB7EE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staff member to run interventions requested by teachers to support ‘catch up.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B9" w14:textId="77777777" w:rsidR="005C40AE" w:rsidRPr="0093661F" w:rsidRDefault="001D038F" w:rsidP="0093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708" w14:textId="77777777" w:rsidR="005C40AE" w:rsidRPr="00B62599" w:rsidRDefault="001D038F" w:rsidP="00DB7EE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Staffing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193" w14:textId="77777777" w:rsidR="005C40AE" w:rsidRPr="0093661F" w:rsidRDefault="001D038F" w:rsidP="00743EE3">
            <w:p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Pupils learning is accelerated as a result of interventions – these could have a therapeutic or academic focus.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991" w14:textId="1664CD48" w:rsidR="005C40AE" w:rsidRPr="00B923E1" w:rsidRDefault="009548D3" w:rsidP="001B6B72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Notes:</w:t>
            </w:r>
            <w:r w:rsidR="00B51B6E">
              <w:rPr>
                <w:rFonts w:ascii="Arial" w:hAnsi="Arial" w:cs="Arial"/>
                <w:sz w:val="20"/>
              </w:rPr>
              <w:t xml:space="preserve"> </w:t>
            </w:r>
            <w:r w:rsidR="0078606B">
              <w:rPr>
                <w:rFonts w:ascii="Arial" w:hAnsi="Arial" w:cs="Arial"/>
                <w:color w:val="000000" w:themeColor="text1"/>
                <w:sz w:val="20"/>
              </w:rPr>
              <w:t>See separate report from Kirstie; this is now running for the remainder of the academic year 2021-</w:t>
            </w:r>
            <w:proofErr w:type="gramStart"/>
            <w:r w:rsidR="0078606B">
              <w:rPr>
                <w:rFonts w:ascii="Arial" w:hAnsi="Arial" w:cs="Arial"/>
                <w:color w:val="000000" w:themeColor="text1"/>
                <w:sz w:val="20"/>
              </w:rPr>
              <w:t xml:space="preserve">22 </w:t>
            </w:r>
            <w:r w:rsidR="00B923E1">
              <w:rPr>
                <w:rFonts w:ascii="Arial" w:hAnsi="Arial" w:cs="Arial"/>
                <w:color w:val="FF0000"/>
                <w:sz w:val="20"/>
              </w:rPr>
              <w:t>.</w:t>
            </w:r>
            <w:proofErr w:type="gramEnd"/>
          </w:p>
        </w:tc>
      </w:tr>
      <w:tr w:rsidR="00FF0660" w14:paraId="7C324A36" w14:textId="77777777" w:rsidTr="00900000">
        <w:trPr>
          <w:trHeight w:val="1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2EA" w14:textId="77777777" w:rsidR="00FF0660" w:rsidRDefault="009548D3" w:rsidP="00FF06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</w:t>
            </w:r>
            <w:r w:rsidR="001D038F">
              <w:rPr>
                <w:rFonts w:ascii="Arial" w:hAnsi="Arial" w:cs="Arial"/>
                <w:b/>
                <w:sz w:val="20"/>
              </w:rPr>
              <w:t xml:space="preserve"> </w:t>
            </w:r>
            <w:r w:rsidR="001D038F" w:rsidRPr="009548D3">
              <w:rPr>
                <w:rFonts w:ascii="Arial" w:hAnsi="Arial" w:cs="Arial"/>
                <w:b/>
                <w:sz w:val="20"/>
              </w:rPr>
              <w:t>OT</w:t>
            </w:r>
            <w:r w:rsidR="001D038F">
              <w:rPr>
                <w:rFonts w:ascii="Arial" w:hAnsi="Arial" w:cs="Arial"/>
                <w:b/>
                <w:sz w:val="20"/>
              </w:rPr>
              <w:t xml:space="preserve"> input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8A1" w14:textId="235B8FF7" w:rsidR="00FF0660" w:rsidRDefault="009548D3" w:rsidP="000E1BF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£1</w:t>
            </w:r>
            <w:r w:rsidR="007C5FA8">
              <w:rPr>
                <w:rFonts w:ascii="Arial" w:hAnsi="Arial" w:cs="Arial"/>
                <w:sz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lang w:val="en-US"/>
              </w:rPr>
              <w:t>,200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85C" w14:textId="77777777" w:rsidR="00FF0660" w:rsidRPr="0079432B" w:rsidRDefault="001D038F" w:rsidP="00094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input from therapists to further address challenges </w:t>
            </w:r>
            <w:r w:rsidR="003B2BD4">
              <w:rPr>
                <w:rFonts w:ascii="Arial" w:hAnsi="Arial" w:cs="Arial"/>
                <w:sz w:val="20"/>
              </w:rPr>
              <w:t>resulting in time missed because of Lockdown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363" w14:textId="77777777" w:rsidR="00FF0660" w:rsidRDefault="003B2BD4" w:rsidP="0093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BT/WT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5F" w14:textId="77777777" w:rsidR="00FF0660" w:rsidRDefault="003B2BD4" w:rsidP="00532D6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Therapy time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C47" w14:textId="77777777" w:rsidR="00FF0660" w:rsidRDefault="003B2BD4" w:rsidP="0009447C">
            <w:p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Children have access to additional therapy time which supports their overall progress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D33" w14:textId="1245C443" w:rsidR="00FF0660" w:rsidRPr="00B923E1" w:rsidRDefault="00B51B6E" w:rsidP="009548D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Notes: </w:t>
            </w:r>
            <w:r w:rsidR="0078606B">
              <w:rPr>
                <w:rFonts w:ascii="Arial" w:hAnsi="Arial" w:cs="Arial"/>
                <w:color w:val="000000" w:themeColor="text1"/>
                <w:sz w:val="20"/>
              </w:rPr>
              <w:t>This additional input will now also run until the end of the academic year</w:t>
            </w:r>
          </w:p>
        </w:tc>
      </w:tr>
      <w:tr w:rsidR="00FF0660" w14:paraId="529AC199" w14:textId="77777777" w:rsidTr="00900000">
        <w:trPr>
          <w:trHeight w:val="1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DE8" w14:textId="77777777" w:rsidR="00FF0660" w:rsidRDefault="003B2BD4" w:rsidP="006A19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Learning Mentor time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385" w14:textId="6CB07F51" w:rsidR="00FF0660" w:rsidRDefault="000D54FB" w:rsidP="00DB7EE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£</w:t>
            </w:r>
            <w:r w:rsidR="00D174EB">
              <w:rPr>
                <w:rFonts w:ascii="Arial" w:hAnsi="Arial" w:cs="Arial"/>
                <w:sz w:val="20"/>
                <w:lang w:val="en-US"/>
              </w:rPr>
              <w:t>9</w:t>
            </w:r>
            <w:r w:rsidR="003B2BD4">
              <w:rPr>
                <w:rFonts w:ascii="Arial" w:hAnsi="Arial" w:cs="Arial"/>
                <w:sz w:val="20"/>
                <w:lang w:val="en-US"/>
              </w:rPr>
              <w:t>,200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824" w14:textId="77777777" w:rsidR="00FF0660" w:rsidRDefault="000D54FB" w:rsidP="00094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one day a week for total of 26 weeks over Spring and Summer terms</w:t>
            </w:r>
            <w:r w:rsidR="009548D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C9D" w14:textId="77777777" w:rsidR="00FF0660" w:rsidRDefault="000D54FB" w:rsidP="0093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BT/WT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D36" w14:textId="77777777" w:rsidR="00E64990" w:rsidRDefault="000D54FB" w:rsidP="00532D6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SH time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A13" w14:textId="77777777" w:rsidR="00FF0660" w:rsidRDefault="000D54FB" w:rsidP="00743EE3">
            <w:p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Learning Mentor puts additional therapeutic activities into place for those children who have found the return to school especially challenging.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599" w14:textId="2C010430" w:rsidR="00FF0660" w:rsidRPr="00F147F4" w:rsidRDefault="00B51B6E" w:rsidP="009548D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Notes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78606B">
              <w:rPr>
                <w:rFonts w:ascii="Arial" w:hAnsi="Arial" w:cs="Arial"/>
                <w:color w:val="000000" w:themeColor="text1"/>
                <w:sz w:val="20"/>
              </w:rPr>
              <w:t xml:space="preserve">See separate report from </w:t>
            </w:r>
            <w:proofErr w:type="spellStart"/>
            <w:r w:rsidR="0078606B">
              <w:rPr>
                <w:rFonts w:ascii="Arial" w:hAnsi="Arial" w:cs="Arial"/>
                <w:color w:val="000000" w:themeColor="text1"/>
                <w:sz w:val="20"/>
              </w:rPr>
              <w:t>Su</w:t>
            </w:r>
            <w:proofErr w:type="spellEnd"/>
            <w:r w:rsidR="0078606B">
              <w:rPr>
                <w:rFonts w:ascii="Arial" w:hAnsi="Arial" w:cs="Arial"/>
                <w:color w:val="000000" w:themeColor="text1"/>
                <w:sz w:val="20"/>
              </w:rPr>
              <w:t>.  Also agreed for the whole of the academic year.</w:t>
            </w:r>
            <w:r w:rsidRPr="0078606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4B6391" w14:paraId="45F31957" w14:textId="77777777" w:rsidTr="00900000">
        <w:trPr>
          <w:trHeight w:val="1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D88" w14:textId="63727A13" w:rsidR="004B6391" w:rsidRDefault="004B6391" w:rsidP="006A19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</w:t>
            </w:r>
            <w:r w:rsidR="00454ED9">
              <w:rPr>
                <w:rFonts w:ascii="Arial" w:hAnsi="Arial" w:cs="Arial"/>
                <w:b/>
                <w:sz w:val="20"/>
              </w:rPr>
              <w:t>interven</w:t>
            </w:r>
            <w:r w:rsidR="00D174EB">
              <w:rPr>
                <w:rFonts w:ascii="Arial" w:hAnsi="Arial" w:cs="Arial"/>
                <w:b/>
                <w:sz w:val="20"/>
              </w:rPr>
              <w:t>o</w:t>
            </w:r>
            <w:r w:rsidR="00454ED9">
              <w:rPr>
                <w:rFonts w:ascii="Arial" w:hAnsi="Arial" w:cs="Arial"/>
                <w:b/>
                <w:sz w:val="20"/>
              </w:rPr>
              <w:t>r</w:t>
            </w:r>
            <w:r w:rsidR="00D174EB">
              <w:rPr>
                <w:rFonts w:ascii="Arial" w:hAnsi="Arial" w:cs="Arial"/>
                <w:b/>
                <w:sz w:val="20"/>
              </w:rPr>
              <w:t xml:space="preserve"> training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0CD" w14:textId="77777777" w:rsidR="004B6391" w:rsidRDefault="003D112B" w:rsidP="00DB7EE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£3,000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3BA" w14:textId="77777777" w:rsidR="004B6391" w:rsidRDefault="004B6391" w:rsidP="00094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staff trained as </w:t>
            </w:r>
            <w:r w:rsidR="00454ED9">
              <w:rPr>
                <w:rFonts w:ascii="Arial" w:hAnsi="Arial" w:cs="Arial"/>
                <w:sz w:val="20"/>
              </w:rPr>
              <w:t>interveners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3F0E" w14:textId="77777777" w:rsidR="004B6391" w:rsidRDefault="003D112B" w:rsidP="0093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8EC" w14:textId="77777777" w:rsidR="004B6391" w:rsidRDefault="004B6391" w:rsidP="00532D6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Staff to go on training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199" w14:textId="77777777" w:rsidR="004B6391" w:rsidRDefault="004B6391" w:rsidP="00743EE3">
            <w:p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Intervenors are able to provide extra targeted support for MSI and PMLD pupils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895" w14:textId="0AC712ED" w:rsidR="004B6391" w:rsidRPr="00B923E1" w:rsidRDefault="00B51B6E" w:rsidP="000065E0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Notes: </w:t>
            </w:r>
            <w:r w:rsidR="0078606B">
              <w:rPr>
                <w:rFonts w:ascii="Arial" w:hAnsi="Arial" w:cs="Arial"/>
                <w:color w:val="000000" w:themeColor="text1"/>
                <w:sz w:val="20"/>
              </w:rPr>
              <w:t>Training is now underway, being run on Saturdays and INSET days</w:t>
            </w:r>
          </w:p>
        </w:tc>
      </w:tr>
      <w:tr w:rsidR="003D22C7" w14:paraId="7A013A4B" w14:textId="77777777" w:rsidTr="00900000">
        <w:trPr>
          <w:trHeight w:val="1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6F3" w14:textId="77777777" w:rsidR="003D22C7" w:rsidRDefault="003D22C7" w:rsidP="006A19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Technology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C" w14:textId="7063DEFF" w:rsidR="003D22C7" w:rsidRDefault="003D112B" w:rsidP="003D112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£</w:t>
            </w:r>
            <w:r w:rsidR="007C5FA8">
              <w:rPr>
                <w:rFonts w:ascii="Arial" w:hAnsi="Arial" w:cs="Arial"/>
                <w:sz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="009548D3">
              <w:rPr>
                <w:rFonts w:ascii="Arial" w:hAnsi="Arial" w:cs="Arial"/>
                <w:sz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>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291" w14:textId="77777777" w:rsidR="003D22C7" w:rsidRDefault="003D112B" w:rsidP="0009447C">
            <w:pPr>
              <w:rPr>
                <w:rFonts w:ascii="Arial" w:hAnsi="Arial" w:cs="Arial"/>
                <w:sz w:val="20"/>
              </w:rPr>
            </w:pPr>
            <w:r w:rsidRPr="0078606B">
              <w:rPr>
                <w:rFonts w:ascii="Arial" w:hAnsi="Arial" w:cs="Arial"/>
                <w:color w:val="000000" w:themeColor="text1"/>
                <w:sz w:val="20"/>
              </w:rPr>
              <w:t>Additional laptops bought for school staff to support all learners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1C6" w14:textId="77777777" w:rsidR="003D22C7" w:rsidRDefault="003D112B" w:rsidP="0093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E63" w14:textId="77777777" w:rsidR="003D22C7" w:rsidRDefault="009548D3" w:rsidP="00532D6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Equipment cost plus set up including VPN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46B" w14:textId="77777777" w:rsidR="003D22C7" w:rsidRDefault="009548D3" w:rsidP="00743EE3">
            <w:p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All staff are able to contribute fully to the learning of complete groups through live lessons where needed re</w:t>
            </w:r>
            <w:r w:rsidR="000065E0">
              <w:rPr>
                <w:rFonts w:ascii="Arial" w:hAnsi="Arial" w:cs="Arial"/>
                <w:color w:val="000000"/>
                <w:sz w:val="20"/>
                <w:lang w:eastAsia="en-GB"/>
              </w:rPr>
              <w:t>motely, plus preparation of res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ou</w:t>
            </w:r>
            <w:r w:rsidR="000065E0">
              <w:rPr>
                <w:rFonts w:ascii="Arial" w:hAnsi="Arial" w:cs="Arial"/>
                <w:color w:val="000000"/>
                <w:sz w:val="20"/>
                <w:lang w:eastAsia="en-GB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ces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84B" w14:textId="22227A80" w:rsidR="003D22C7" w:rsidRPr="00B923E1" w:rsidRDefault="00B51B6E" w:rsidP="009548D3">
            <w:pPr>
              <w:rPr>
                <w:rFonts w:ascii="Arial" w:hAnsi="Arial" w:cs="Arial"/>
                <w:color w:val="FF0000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Notes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9548D3" w:rsidRPr="0078606B">
              <w:rPr>
                <w:rFonts w:ascii="Arial" w:hAnsi="Arial" w:cs="Arial"/>
                <w:color w:val="000000" w:themeColor="text1"/>
                <w:sz w:val="20"/>
              </w:rPr>
              <w:t>additional laptops for therapy team mean they are all able to support remotely where needed</w:t>
            </w:r>
            <w:r w:rsidR="000065E0" w:rsidRPr="0078606B">
              <w:rPr>
                <w:rFonts w:ascii="Arial" w:hAnsi="Arial" w:cs="Arial"/>
                <w:color w:val="000000" w:themeColor="text1"/>
                <w:sz w:val="20"/>
              </w:rPr>
              <w:t xml:space="preserve">; further laptops will then be distributed amongst the departments for class teams to use as required </w:t>
            </w:r>
            <w:r w:rsidR="0078606B">
              <w:rPr>
                <w:rFonts w:ascii="Arial" w:hAnsi="Arial" w:cs="Arial"/>
                <w:color w:val="000000" w:themeColor="text1"/>
                <w:sz w:val="20"/>
              </w:rPr>
              <w:t xml:space="preserve">– some have been reclaimed from </w:t>
            </w:r>
            <w:r w:rsidR="007C5FA8">
              <w:rPr>
                <w:rFonts w:ascii="Arial" w:hAnsi="Arial" w:cs="Arial"/>
                <w:color w:val="000000" w:themeColor="text1"/>
                <w:sz w:val="20"/>
              </w:rPr>
              <w:t>the initial allocation from the DfE</w:t>
            </w:r>
          </w:p>
        </w:tc>
      </w:tr>
    </w:tbl>
    <w:p w14:paraId="1C26402B" w14:textId="77777777" w:rsidR="0093661F" w:rsidRDefault="0093661F" w:rsidP="000065E0">
      <w:pPr>
        <w:pStyle w:val="ListParagraph"/>
      </w:pPr>
    </w:p>
    <w:sectPr w:rsidR="0093661F" w:rsidSect="00FB3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DF4"/>
    <w:multiLevelType w:val="hybridMultilevel"/>
    <w:tmpl w:val="ABD6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451"/>
    <w:multiLevelType w:val="hybridMultilevel"/>
    <w:tmpl w:val="925A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EB8"/>
    <w:multiLevelType w:val="multilevel"/>
    <w:tmpl w:val="AB789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3475C"/>
    <w:multiLevelType w:val="multilevel"/>
    <w:tmpl w:val="9CC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F02C8"/>
    <w:multiLevelType w:val="multilevel"/>
    <w:tmpl w:val="DFE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C4758"/>
    <w:multiLevelType w:val="multilevel"/>
    <w:tmpl w:val="9C7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A3E47"/>
    <w:multiLevelType w:val="hybridMultilevel"/>
    <w:tmpl w:val="D5B41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059BC"/>
    <w:multiLevelType w:val="multilevel"/>
    <w:tmpl w:val="7FCAF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3114B1"/>
    <w:multiLevelType w:val="multilevel"/>
    <w:tmpl w:val="14D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C3A08"/>
    <w:multiLevelType w:val="multilevel"/>
    <w:tmpl w:val="AB789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06A23"/>
    <w:multiLevelType w:val="hybridMultilevel"/>
    <w:tmpl w:val="FF8428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6C467F"/>
    <w:multiLevelType w:val="hybridMultilevel"/>
    <w:tmpl w:val="8A32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ABA"/>
    <w:multiLevelType w:val="hybridMultilevel"/>
    <w:tmpl w:val="23F0082A"/>
    <w:lvl w:ilvl="0" w:tplc="506479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50D"/>
    <w:multiLevelType w:val="hybridMultilevel"/>
    <w:tmpl w:val="8808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B632B"/>
    <w:multiLevelType w:val="multilevel"/>
    <w:tmpl w:val="893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4514A"/>
    <w:multiLevelType w:val="hybridMultilevel"/>
    <w:tmpl w:val="A5CE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4C1A"/>
    <w:multiLevelType w:val="multilevel"/>
    <w:tmpl w:val="8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16BE1"/>
    <w:multiLevelType w:val="multilevel"/>
    <w:tmpl w:val="D53C1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0572"/>
    <w:multiLevelType w:val="multilevel"/>
    <w:tmpl w:val="109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94EFB"/>
    <w:multiLevelType w:val="hybridMultilevel"/>
    <w:tmpl w:val="63A4E098"/>
    <w:lvl w:ilvl="0" w:tplc="AFFAC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5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E9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C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0F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9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E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2E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CC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17"/>
  </w:num>
  <w:num w:numId="9">
    <w:abstractNumId w:val="2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9F"/>
    <w:rsid w:val="000007C4"/>
    <w:rsid w:val="000065E0"/>
    <w:rsid w:val="0002113A"/>
    <w:rsid w:val="0002258D"/>
    <w:rsid w:val="00054185"/>
    <w:rsid w:val="00055BF3"/>
    <w:rsid w:val="0007253C"/>
    <w:rsid w:val="0007271C"/>
    <w:rsid w:val="00073C56"/>
    <w:rsid w:val="00075F9A"/>
    <w:rsid w:val="0008364B"/>
    <w:rsid w:val="00085CF0"/>
    <w:rsid w:val="0009103F"/>
    <w:rsid w:val="0009447C"/>
    <w:rsid w:val="000B11B3"/>
    <w:rsid w:val="000D03E8"/>
    <w:rsid w:val="000D54FB"/>
    <w:rsid w:val="000E1BFE"/>
    <w:rsid w:val="000E23EB"/>
    <w:rsid w:val="000F7848"/>
    <w:rsid w:val="00114B8B"/>
    <w:rsid w:val="00141017"/>
    <w:rsid w:val="0015228B"/>
    <w:rsid w:val="00165229"/>
    <w:rsid w:val="0016633F"/>
    <w:rsid w:val="00183F0C"/>
    <w:rsid w:val="00195678"/>
    <w:rsid w:val="001A51B4"/>
    <w:rsid w:val="001A741B"/>
    <w:rsid w:val="001B1923"/>
    <w:rsid w:val="001B6B72"/>
    <w:rsid w:val="001C1629"/>
    <w:rsid w:val="001C386D"/>
    <w:rsid w:val="001C6017"/>
    <w:rsid w:val="001D038F"/>
    <w:rsid w:val="001D139C"/>
    <w:rsid w:val="001E6F1C"/>
    <w:rsid w:val="00200B8A"/>
    <w:rsid w:val="00233775"/>
    <w:rsid w:val="00237349"/>
    <w:rsid w:val="00253311"/>
    <w:rsid w:val="0026009D"/>
    <w:rsid w:val="0027126D"/>
    <w:rsid w:val="00294E5C"/>
    <w:rsid w:val="002A2192"/>
    <w:rsid w:val="002A2B9F"/>
    <w:rsid w:val="002A3102"/>
    <w:rsid w:val="002A567C"/>
    <w:rsid w:val="002C2D8B"/>
    <w:rsid w:val="002F63A8"/>
    <w:rsid w:val="00305B4A"/>
    <w:rsid w:val="003111E8"/>
    <w:rsid w:val="0031179B"/>
    <w:rsid w:val="00326A5C"/>
    <w:rsid w:val="003421E6"/>
    <w:rsid w:val="00346B19"/>
    <w:rsid w:val="00371EC8"/>
    <w:rsid w:val="00374F73"/>
    <w:rsid w:val="00383F13"/>
    <w:rsid w:val="003B2BD4"/>
    <w:rsid w:val="003D112B"/>
    <w:rsid w:val="003D13F5"/>
    <w:rsid w:val="003D22C7"/>
    <w:rsid w:val="003E12E4"/>
    <w:rsid w:val="003E1E3E"/>
    <w:rsid w:val="00404B6E"/>
    <w:rsid w:val="004074D2"/>
    <w:rsid w:val="00417F43"/>
    <w:rsid w:val="00451D21"/>
    <w:rsid w:val="00454670"/>
    <w:rsid w:val="00454ED9"/>
    <w:rsid w:val="00497B7B"/>
    <w:rsid w:val="004A2469"/>
    <w:rsid w:val="004B6391"/>
    <w:rsid w:val="004E1CBC"/>
    <w:rsid w:val="004E6AEF"/>
    <w:rsid w:val="004F46F9"/>
    <w:rsid w:val="004F7B7B"/>
    <w:rsid w:val="005072E2"/>
    <w:rsid w:val="00516B1E"/>
    <w:rsid w:val="00523D60"/>
    <w:rsid w:val="005274FA"/>
    <w:rsid w:val="00532D6B"/>
    <w:rsid w:val="0053656F"/>
    <w:rsid w:val="00537C67"/>
    <w:rsid w:val="00544EF1"/>
    <w:rsid w:val="00547CD1"/>
    <w:rsid w:val="00547D65"/>
    <w:rsid w:val="00561274"/>
    <w:rsid w:val="0057651A"/>
    <w:rsid w:val="00580415"/>
    <w:rsid w:val="00583165"/>
    <w:rsid w:val="00583C73"/>
    <w:rsid w:val="00594495"/>
    <w:rsid w:val="0059559F"/>
    <w:rsid w:val="005B7D4C"/>
    <w:rsid w:val="005C34CA"/>
    <w:rsid w:val="005C40AE"/>
    <w:rsid w:val="005F126D"/>
    <w:rsid w:val="005F2466"/>
    <w:rsid w:val="0060668C"/>
    <w:rsid w:val="00634BCE"/>
    <w:rsid w:val="006561D5"/>
    <w:rsid w:val="00667596"/>
    <w:rsid w:val="006724DA"/>
    <w:rsid w:val="00677AB8"/>
    <w:rsid w:val="0068183B"/>
    <w:rsid w:val="00681FFE"/>
    <w:rsid w:val="006872AB"/>
    <w:rsid w:val="006A1938"/>
    <w:rsid w:val="006B712B"/>
    <w:rsid w:val="006F5DA0"/>
    <w:rsid w:val="00710351"/>
    <w:rsid w:val="007156E5"/>
    <w:rsid w:val="00716897"/>
    <w:rsid w:val="0072029B"/>
    <w:rsid w:val="00734476"/>
    <w:rsid w:val="00736046"/>
    <w:rsid w:val="00741F14"/>
    <w:rsid w:val="00743EE3"/>
    <w:rsid w:val="00762B6A"/>
    <w:rsid w:val="007725D3"/>
    <w:rsid w:val="00774BED"/>
    <w:rsid w:val="0078606B"/>
    <w:rsid w:val="0079432B"/>
    <w:rsid w:val="00796E68"/>
    <w:rsid w:val="007A64BB"/>
    <w:rsid w:val="007B621A"/>
    <w:rsid w:val="007C5FA8"/>
    <w:rsid w:val="007C737A"/>
    <w:rsid w:val="007D41ED"/>
    <w:rsid w:val="007E365A"/>
    <w:rsid w:val="00807ECB"/>
    <w:rsid w:val="00822F54"/>
    <w:rsid w:val="00863E3C"/>
    <w:rsid w:val="00864FFB"/>
    <w:rsid w:val="00883C7B"/>
    <w:rsid w:val="00897F13"/>
    <w:rsid w:val="008C4C46"/>
    <w:rsid w:val="008D19F4"/>
    <w:rsid w:val="008D66DA"/>
    <w:rsid w:val="008F2E93"/>
    <w:rsid w:val="00900000"/>
    <w:rsid w:val="00925A66"/>
    <w:rsid w:val="0093661F"/>
    <w:rsid w:val="009471D3"/>
    <w:rsid w:val="009548D3"/>
    <w:rsid w:val="0096446F"/>
    <w:rsid w:val="009764A8"/>
    <w:rsid w:val="00990528"/>
    <w:rsid w:val="00992052"/>
    <w:rsid w:val="0099580D"/>
    <w:rsid w:val="00997C62"/>
    <w:rsid w:val="009A4D67"/>
    <w:rsid w:val="009B7F05"/>
    <w:rsid w:val="009C26D3"/>
    <w:rsid w:val="009D033A"/>
    <w:rsid w:val="009D4385"/>
    <w:rsid w:val="009E15DB"/>
    <w:rsid w:val="00A137B9"/>
    <w:rsid w:val="00A13989"/>
    <w:rsid w:val="00A13CEA"/>
    <w:rsid w:val="00A4763B"/>
    <w:rsid w:val="00A819B3"/>
    <w:rsid w:val="00A871DC"/>
    <w:rsid w:val="00AA6D9F"/>
    <w:rsid w:val="00AA6E40"/>
    <w:rsid w:val="00AB305D"/>
    <w:rsid w:val="00AB7041"/>
    <w:rsid w:val="00AC5C4F"/>
    <w:rsid w:val="00AF63E0"/>
    <w:rsid w:val="00AF6859"/>
    <w:rsid w:val="00B1716B"/>
    <w:rsid w:val="00B3035E"/>
    <w:rsid w:val="00B41B95"/>
    <w:rsid w:val="00B429B3"/>
    <w:rsid w:val="00B51B6E"/>
    <w:rsid w:val="00B52601"/>
    <w:rsid w:val="00B62599"/>
    <w:rsid w:val="00B923E1"/>
    <w:rsid w:val="00BA1E95"/>
    <w:rsid w:val="00BB125D"/>
    <w:rsid w:val="00BB7F2C"/>
    <w:rsid w:val="00BD1056"/>
    <w:rsid w:val="00BD5A2C"/>
    <w:rsid w:val="00BE0943"/>
    <w:rsid w:val="00BE37CA"/>
    <w:rsid w:val="00BF503C"/>
    <w:rsid w:val="00C14406"/>
    <w:rsid w:val="00C24647"/>
    <w:rsid w:val="00C330DC"/>
    <w:rsid w:val="00C366E9"/>
    <w:rsid w:val="00C377FD"/>
    <w:rsid w:val="00C43C54"/>
    <w:rsid w:val="00C667D3"/>
    <w:rsid w:val="00C70F0D"/>
    <w:rsid w:val="00C73C36"/>
    <w:rsid w:val="00C743B8"/>
    <w:rsid w:val="00C748AD"/>
    <w:rsid w:val="00C86B97"/>
    <w:rsid w:val="00C92E60"/>
    <w:rsid w:val="00CA4D95"/>
    <w:rsid w:val="00CC621F"/>
    <w:rsid w:val="00CC6495"/>
    <w:rsid w:val="00CD42A6"/>
    <w:rsid w:val="00CE71B4"/>
    <w:rsid w:val="00CF1806"/>
    <w:rsid w:val="00D116EA"/>
    <w:rsid w:val="00D174EB"/>
    <w:rsid w:val="00D23DB6"/>
    <w:rsid w:val="00D96222"/>
    <w:rsid w:val="00DA4EB2"/>
    <w:rsid w:val="00DB4609"/>
    <w:rsid w:val="00DB7EE8"/>
    <w:rsid w:val="00DC4C4F"/>
    <w:rsid w:val="00DE133F"/>
    <w:rsid w:val="00DF7DAE"/>
    <w:rsid w:val="00E12EAE"/>
    <w:rsid w:val="00E26D2F"/>
    <w:rsid w:val="00E304FC"/>
    <w:rsid w:val="00E429B1"/>
    <w:rsid w:val="00E45C46"/>
    <w:rsid w:val="00E64990"/>
    <w:rsid w:val="00E66546"/>
    <w:rsid w:val="00E74624"/>
    <w:rsid w:val="00E7490F"/>
    <w:rsid w:val="00E872E9"/>
    <w:rsid w:val="00EA78BE"/>
    <w:rsid w:val="00EB41A1"/>
    <w:rsid w:val="00EC3D3F"/>
    <w:rsid w:val="00EC73A9"/>
    <w:rsid w:val="00ED61E9"/>
    <w:rsid w:val="00EF29C0"/>
    <w:rsid w:val="00F00DBE"/>
    <w:rsid w:val="00F0579F"/>
    <w:rsid w:val="00F147F4"/>
    <w:rsid w:val="00F268D2"/>
    <w:rsid w:val="00F31B46"/>
    <w:rsid w:val="00F46533"/>
    <w:rsid w:val="00F52588"/>
    <w:rsid w:val="00F61B7F"/>
    <w:rsid w:val="00F81B0F"/>
    <w:rsid w:val="00FA3494"/>
    <w:rsid w:val="00FB3353"/>
    <w:rsid w:val="00FC27E6"/>
    <w:rsid w:val="00FD0AE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7499"/>
  <w15:docId w15:val="{C1BB7727-4384-44F8-A1A2-1067D470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6D9F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D9F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AA6D9F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AA6D9F"/>
    <w:rPr>
      <w:rFonts w:ascii="Times New Roman" w:eastAsia="Times New Roman" w:hAnsi="Times New Roman" w:cs="Times New Roman"/>
      <w:b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9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F0D"/>
    <w:pPr>
      <w:spacing w:before="100" w:beforeAutospacing="1" w:after="90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0F0D"/>
    <w:pPr>
      <w:ind w:left="720"/>
      <w:contextualSpacing/>
    </w:pPr>
  </w:style>
  <w:style w:type="paragraph" w:customStyle="1" w:styleId="pullquote1">
    <w:name w:val="pullquote1"/>
    <w:basedOn w:val="Normal"/>
    <w:rsid w:val="00C70F0D"/>
    <w:pPr>
      <w:spacing w:after="45"/>
      <w:ind w:left="45"/>
    </w:pPr>
    <w:rPr>
      <w:rFonts w:ascii="Georgia" w:hAnsi="Georgia"/>
      <w:i/>
      <w:iCs/>
      <w:color w:val="339900"/>
      <w:szCs w:val="24"/>
      <w:lang w:eastAsia="en-GB"/>
    </w:rPr>
  </w:style>
  <w:style w:type="table" w:styleId="TableGrid">
    <w:name w:val="Table Grid"/>
    <w:basedOn w:val="TableNormal"/>
    <w:uiPriority w:val="59"/>
    <w:rsid w:val="001B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734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88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170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797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195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ucationendowmentfoundation.org.uk/covid-19-resources/guide-to-supporting-schools-plannin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ucationendowmentfoundation.org.uk/covid-19-resources/covid-19-support-guide-for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04A9C0168124682732D1EC16D9E38" ma:contentTypeVersion="14" ma:contentTypeDescription="Create a new document." ma:contentTypeScope="" ma:versionID="f23969d53924cd9c94532508cccc9771">
  <xsd:schema xmlns:xsd="http://www.w3.org/2001/XMLSchema" xmlns:xs="http://www.w3.org/2001/XMLSchema" xmlns:p="http://schemas.microsoft.com/office/2006/metadata/properties" xmlns:ns3="bea641d1-77ec-4a90-8bbe-3b8a6aeaec50" xmlns:ns4="6d4f3454-0aa6-44e3-a469-021d71a1533e" targetNamespace="http://schemas.microsoft.com/office/2006/metadata/properties" ma:root="true" ma:fieldsID="7f6211abb0a4c41bdef81a1e98b0e7ab" ns3:_="" ns4:_="">
    <xsd:import namespace="bea641d1-77ec-4a90-8bbe-3b8a6aeaec50"/>
    <xsd:import namespace="6d4f3454-0aa6-44e3-a469-021d71a153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41d1-77ec-4a90-8bbe-3b8a6aeae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3454-0aa6-44e3-a469-021d71a15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B462-6127-4033-BB89-90B2E17E6DBD}">
  <ds:schemaRefs>
    <ds:schemaRef ds:uri="bea641d1-77ec-4a90-8bbe-3b8a6aeaec50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d4f3454-0aa6-44e3-a469-021d71a1533e"/>
  </ds:schemaRefs>
</ds:datastoreItem>
</file>

<file path=customXml/itemProps2.xml><?xml version="1.0" encoding="utf-8"?>
<ds:datastoreItem xmlns:ds="http://schemas.openxmlformats.org/officeDocument/2006/customXml" ds:itemID="{F6F6664A-2E05-44B6-90C1-7D1C97207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641d1-77ec-4a90-8bbe-3b8a6aeaec50"/>
    <ds:schemaRef ds:uri="6d4f3454-0aa6-44e3-a469-021d71a15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1464D-504A-4447-B74A-080FA8192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54B28-B0FE-46F6-84D3-9BBA88D8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Skingsley</dc:creator>
  <cp:lastModifiedBy>Bradley Taylor</cp:lastModifiedBy>
  <cp:revision>3</cp:revision>
  <cp:lastPrinted>2017-04-06T10:48:00Z</cp:lastPrinted>
  <dcterms:created xsi:type="dcterms:W3CDTF">2021-12-14T14:11:00Z</dcterms:created>
  <dcterms:modified xsi:type="dcterms:W3CDTF">2021-12-14T14:54:00Z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0x010100A0A04A9C0168124682732D1EC16D9E38</vt:lpwstr>
  </property>
</Properties>
</file>